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A9" w:rsidRDefault="009142A9" w:rsidP="006F7F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pPr w:leftFromText="180" w:rightFromText="180" w:vertAnchor="page" w:horzAnchor="margin" w:tblpY="2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6408"/>
      </w:tblGrid>
      <w:tr w:rsidR="009142A9" w:rsidRPr="00DF3E9A" w:rsidTr="00420813">
        <w:trPr>
          <w:trHeight w:val="620"/>
        </w:trPr>
        <w:tc>
          <w:tcPr>
            <w:tcW w:w="2569" w:type="dxa"/>
          </w:tcPr>
          <w:p w:rsidR="009142A9" w:rsidRPr="00DF3E9A" w:rsidRDefault="009142A9" w:rsidP="0042081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3E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Approved by:</w:t>
            </w:r>
          </w:p>
        </w:tc>
        <w:tc>
          <w:tcPr>
            <w:tcW w:w="6408" w:type="dxa"/>
          </w:tcPr>
          <w:p w:rsidR="009142A9" w:rsidRPr="00DF3E9A" w:rsidRDefault="009142A9" w:rsidP="0042081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2A9" w:rsidRPr="00DF3E9A" w:rsidTr="00420813">
        <w:trPr>
          <w:trHeight w:val="530"/>
        </w:trPr>
        <w:tc>
          <w:tcPr>
            <w:tcW w:w="2569" w:type="dxa"/>
          </w:tcPr>
          <w:p w:rsidR="009142A9" w:rsidRPr="00DF3E9A" w:rsidRDefault="009142A9" w:rsidP="0042081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3E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Approval by EC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408" w:type="dxa"/>
          </w:tcPr>
          <w:p w:rsidR="009142A9" w:rsidRPr="00DF3E9A" w:rsidRDefault="000D1F50" w:rsidP="0042081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May 5, 2016</w:t>
            </w:r>
          </w:p>
        </w:tc>
      </w:tr>
      <w:tr w:rsidR="009142A9" w:rsidRPr="00DF3E9A" w:rsidTr="00420813">
        <w:tc>
          <w:tcPr>
            <w:tcW w:w="2569" w:type="dxa"/>
          </w:tcPr>
          <w:p w:rsidR="009142A9" w:rsidRPr="00DF3E9A" w:rsidRDefault="009142A9" w:rsidP="0042081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3E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Policy Effective Date:</w:t>
            </w:r>
          </w:p>
        </w:tc>
        <w:tc>
          <w:tcPr>
            <w:tcW w:w="6408" w:type="dxa"/>
          </w:tcPr>
          <w:p w:rsidR="009142A9" w:rsidRPr="00DF3E9A" w:rsidRDefault="003B3063" w:rsidP="0042081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July 1, 2016</w:t>
            </w:r>
          </w:p>
        </w:tc>
      </w:tr>
      <w:tr w:rsidR="009142A9" w:rsidRPr="00DF3E9A" w:rsidTr="00AF4204">
        <w:trPr>
          <w:trHeight w:val="908"/>
        </w:trPr>
        <w:tc>
          <w:tcPr>
            <w:tcW w:w="2569" w:type="dxa"/>
          </w:tcPr>
          <w:p w:rsidR="009142A9" w:rsidRPr="00DF3E9A" w:rsidRDefault="009142A9" w:rsidP="0042081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3E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Related Policies:</w:t>
            </w:r>
          </w:p>
        </w:tc>
        <w:tc>
          <w:tcPr>
            <w:tcW w:w="6408" w:type="dxa"/>
          </w:tcPr>
          <w:p w:rsidR="009142A9" w:rsidRDefault="009142A9" w:rsidP="0042081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Faculty and Staff</w:t>
            </w:r>
            <w:r w:rsidRPr="00DF3E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Policy and Procedures Manu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al</w:t>
            </w:r>
          </w:p>
          <w:p w:rsidR="003B3063" w:rsidRPr="00DF3E9A" w:rsidRDefault="003B3063" w:rsidP="0042081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Student Handbook</w:t>
            </w:r>
          </w:p>
        </w:tc>
      </w:tr>
    </w:tbl>
    <w:p w:rsidR="00EB5FCD" w:rsidRDefault="00EB5FCD" w:rsidP="006F7F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6B1B" w:rsidRDefault="00046940" w:rsidP="0024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RELEVANCE </w:t>
      </w:r>
    </w:p>
    <w:p w:rsidR="00246EE0" w:rsidRDefault="00246EE0" w:rsidP="006001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policy </w:t>
      </w:r>
      <w:r w:rsidR="009D28C1">
        <w:rPr>
          <w:rFonts w:ascii="Times New Roman" w:hAnsi="Times New Roman" w:cs="Times New Roman"/>
          <w:sz w:val="24"/>
          <w:szCs w:val="24"/>
        </w:rPr>
        <w:t>applies to</w:t>
      </w:r>
      <w:r>
        <w:rPr>
          <w:rFonts w:ascii="Times New Roman" w:hAnsi="Times New Roman" w:cs="Times New Roman"/>
          <w:sz w:val="24"/>
          <w:szCs w:val="24"/>
        </w:rPr>
        <w:t xml:space="preserve"> all members of the University community</w:t>
      </w:r>
      <w:r w:rsidR="00046940">
        <w:rPr>
          <w:rFonts w:ascii="Times New Roman" w:hAnsi="Times New Roman" w:cs="Times New Roman"/>
          <w:sz w:val="24"/>
          <w:szCs w:val="24"/>
        </w:rPr>
        <w:t xml:space="preserve"> which includes but is not limited to </w:t>
      </w:r>
      <w:r w:rsidR="00FD1477">
        <w:rPr>
          <w:rFonts w:ascii="Times New Roman" w:hAnsi="Times New Roman" w:cs="Times New Roman"/>
          <w:sz w:val="24"/>
          <w:szCs w:val="24"/>
        </w:rPr>
        <w:t xml:space="preserve">all students, faculty, staff, </w:t>
      </w:r>
      <w:r w:rsidR="006F60E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isitors, contractors and guests</w:t>
      </w:r>
      <w:r w:rsidR="00046940">
        <w:rPr>
          <w:rFonts w:ascii="Times New Roman" w:hAnsi="Times New Roman" w:cs="Times New Roman"/>
          <w:sz w:val="24"/>
          <w:szCs w:val="24"/>
        </w:rPr>
        <w:t>.</w:t>
      </w:r>
      <w:r w:rsidR="00600148">
        <w:rPr>
          <w:rFonts w:ascii="Times New Roman" w:hAnsi="Times New Roman" w:cs="Times New Roman"/>
          <w:sz w:val="24"/>
          <w:szCs w:val="24"/>
        </w:rPr>
        <w:t xml:space="preserve">  This policy </w:t>
      </w:r>
      <w:r w:rsidR="009D28C1">
        <w:rPr>
          <w:rFonts w:ascii="Times New Roman" w:hAnsi="Times New Roman" w:cs="Times New Roman"/>
          <w:sz w:val="24"/>
          <w:szCs w:val="24"/>
        </w:rPr>
        <w:t>applies to</w:t>
      </w:r>
      <w:r w:rsidR="00600148">
        <w:rPr>
          <w:rFonts w:ascii="Times New Roman" w:hAnsi="Times New Roman" w:cs="Times New Roman"/>
          <w:sz w:val="24"/>
          <w:szCs w:val="24"/>
        </w:rPr>
        <w:t xml:space="preserve"> all </w:t>
      </w:r>
      <w:r w:rsidR="00600148" w:rsidRPr="00D01DEF">
        <w:rPr>
          <w:rFonts w:ascii="Times New Roman" w:hAnsi="Times New Roman" w:cs="Times New Roman"/>
          <w:sz w:val="24"/>
          <w:szCs w:val="24"/>
        </w:rPr>
        <w:t>activities on property owned, operated, leased, and/or con</w:t>
      </w:r>
      <w:r w:rsidR="00600148">
        <w:rPr>
          <w:rFonts w:ascii="Times New Roman" w:hAnsi="Times New Roman" w:cs="Times New Roman"/>
          <w:sz w:val="24"/>
          <w:szCs w:val="24"/>
        </w:rPr>
        <w:t>trolled by Barry University.</w:t>
      </w:r>
    </w:p>
    <w:p w:rsidR="00246EE0" w:rsidRDefault="00246EE0" w:rsidP="0024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E0" w:rsidRDefault="00AF4204" w:rsidP="00246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</w:t>
      </w:r>
    </w:p>
    <w:p w:rsidR="00600148" w:rsidRDefault="00600148" w:rsidP="006001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0148" w:rsidRPr="00D01DEF" w:rsidRDefault="00600148" w:rsidP="006001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DEF">
        <w:rPr>
          <w:rFonts w:ascii="Times New Roman" w:hAnsi="Times New Roman" w:cs="Times New Roman"/>
          <w:sz w:val="24"/>
          <w:szCs w:val="24"/>
        </w:rPr>
        <w:t>Barry University prohibits smoking</w:t>
      </w:r>
      <w:r>
        <w:rPr>
          <w:rFonts w:ascii="Times New Roman" w:hAnsi="Times New Roman" w:cs="Times New Roman"/>
          <w:sz w:val="24"/>
          <w:szCs w:val="24"/>
        </w:rPr>
        <w:t xml:space="preserve">, including e-cigarettes </w:t>
      </w:r>
      <w:r w:rsidRPr="00D01DEF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tobacco use of any kind </w:t>
      </w:r>
      <w:r w:rsidRPr="00D01DEF">
        <w:rPr>
          <w:rFonts w:ascii="Times New Roman" w:hAnsi="Times New Roman" w:cs="Times New Roman"/>
          <w:sz w:val="24"/>
          <w:szCs w:val="24"/>
        </w:rPr>
        <w:t>on all university owned, operated, leased, and/or controlled properties in order to maintain a healthy and safe environment for its faculty, staff, students, and visitors.</w:t>
      </w:r>
    </w:p>
    <w:p w:rsidR="00AF4204" w:rsidRDefault="00AF4204" w:rsidP="00050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7A1" w:rsidRDefault="00AF4204" w:rsidP="00050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DEFINITIONS</w:t>
      </w:r>
    </w:p>
    <w:p w:rsidR="00600148" w:rsidRPr="000507A1" w:rsidRDefault="00600148" w:rsidP="00050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48" w:rsidRPr="00D01DEF" w:rsidRDefault="00600148" w:rsidP="006001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DEF">
        <w:rPr>
          <w:rFonts w:ascii="Times New Roman" w:hAnsi="Times New Roman" w:cs="Times New Roman"/>
          <w:i/>
          <w:sz w:val="24"/>
          <w:szCs w:val="24"/>
        </w:rPr>
        <w:t xml:space="preserve">Smoking: </w:t>
      </w:r>
      <w:r w:rsidRPr="00D01DEF">
        <w:rPr>
          <w:rFonts w:ascii="Times New Roman" w:hAnsi="Times New Roman" w:cs="Times New Roman"/>
          <w:sz w:val="24"/>
          <w:szCs w:val="24"/>
        </w:rPr>
        <w:t>Inhaling, exhaling, burning, or carrying any lighted or heated cigar, cigarette, pipe, or other inhalant device in which tobacco, tobacco substitute, or other material is smoked. Cigarette and Cigar (Blunt): A small roll, generally wrapped in paper, of cut tobacco, tobacco substitute, or other leaf content.</w:t>
      </w:r>
    </w:p>
    <w:p w:rsidR="00600148" w:rsidRPr="00D01DEF" w:rsidRDefault="00600148" w:rsidP="006001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DEF">
        <w:rPr>
          <w:rFonts w:ascii="Times New Roman" w:hAnsi="Times New Roman" w:cs="Times New Roman"/>
          <w:i/>
          <w:sz w:val="24"/>
          <w:szCs w:val="24"/>
        </w:rPr>
        <w:t>Pipe:</w:t>
      </w:r>
      <w:r w:rsidRPr="00D01DEF">
        <w:rPr>
          <w:rFonts w:ascii="Times New Roman" w:hAnsi="Times New Roman" w:cs="Times New Roman"/>
          <w:sz w:val="24"/>
          <w:szCs w:val="24"/>
        </w:rPr>
        <w:t xml:space="preserve"> A tube with a small bowl at one end, in which tobacco, tobacco substitute, or other material is smoked.</w:t>
      </w:r>
    </w:p>
    <w:p w:rsidR="00600148" w:rsidRPr="00AF4204" w:rsidRDefault="00600148" w:rsidP="006001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DEF">
        <w:rPr>
          <w:rFonts w:ascii="Times New Roman" w:hAnsi="Times New Roman" w:cs="Times New Roman"/>
          <w:i/>
          <w:sz w:val="24"/>
          <w:szCs w:val="24"/>
        </w:rPr>
        <w:t>Property:</w:t>
      </w:r>
      <w:r w:rsidRPr="00D01DEF">
        <w:rPr>
          <w:rFonts w:ascii="Times New Roman" w:hAnsi="Times New Roman" w:cs="Times New Roman"/>
          <w:sz w:val="24"/>
          <w:szCs w:val="24"/>
        </w:rPr>
        <w:t xml:space="preserve"> Buildings and structures, grounds, parking structures, walkways, sidewalks, parking lots, and vehicles, as well as personal vehicles in these areas.</w:t>
      </w:r>
    </w:p>
    <w:p w:rsidR="000507A1" w:rsidRDefault="000507A1" w:rsidP="00050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48" w:rsidRDefault="00600148" w:rsidP="006001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1DEF">
        <w:rPr>
          <w:rFonts w:ascii="Times New Roman" w:hAnsi="Times New Roman" w:cs="Times New Roman"/>
          <w:b/>
          <w:sz w:val="24"/>
          <w:szCs w:val="24"/>
        </w:rPr>
        <w:t>PROCEDURES</w:t>
      </w:r>
    </w:p>
    <w:p w:rsidR="00600148" w:rsidRDefault="00600148" w:rsidP="006001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48" w:rsidRPr="00D01DEF" w:rsidRDefault="00600148" w:rsidP="006001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Article I </w:t>
      </w:r>
      <w:r w:rsidRPr="00D01DEF">
        <w:rPr>
          <w:rFonts w:ascii="Times New Roman" w:hAnsi="Times New Roman" w:cs="Times New Roman"/>
          <w:b/>
          <w:sz w:val="24"/>
          <w:szCs w:val="24"/>
        </w:rPr>
        <w:t>-- Implementation and Support</w:t>
      </w:r>
    </w:p>
    <w:p w:rsidR="00600148" w:rsidRPr="00D01DEF" w:rsidRDefault="00600148" w:rsidP="006001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DEF">
        <w:rPr>
          <w:rFonts w:ascii="Times New Roman" w:hAnsi="Times New Roman" w:cs="Times New Roman"/>
          <w:sz w:val="24"/>
          <w:szCs w:val="24"/>
        </w:rPr>
        <w:t xml:space="preserve">Effective implementation of this policy depends upon the courtesy and cooperation of all members of the university community, not only </w:t>
      </w:r>
      <w:r w:rsidR="00046940">
        <w:rPr>
          <w:rFonts w:ascii="Times New Roman" w:hAnsi="Times New Roman" w:cs="Times New Roman"/>
          <w:sz w:val="24"/>
          <w:szCs w:val="24"/>
        </w:rPr>
        <w:t xml:space="preserve">with regard to person compliance but encouraging others to comply </w:t>
      </w:r>
      <w:r w:rsidRPr="00D01DEF">
        <w:rPr>
          <w:rFonts w:ascii="Times New Roman" w:hAnsi="Times New Roman" w:cs="Times New Roman"/>
          <w:sz w:val="24"/>
          <w:szCs w:val="24"/>
        </w:rPr>
        <w:t xml:space="preserve">with </w:t>
      </w:r>
      <w:r w:rsidR="00046940">
        <w:rPr>
          <w:rFonts w:ascii="Times New Roman" w:hAnsi="Times New Roman" w:cs="Times New Roman"/>
          <w:sz w:val="24"/>
          <w:szCs w:val="24"/>
        </w:rPr>
        <w:t>the</w:t>
      </w:r>
      <w:r w:rsidRPr="00D01DEF">
        <w:rPr>
          <w:rFonts w:ascii="Times New Roman" w:hAnsi="Times New Roman" w:cs="Times New Roman"/>
          <w:sz w:val="24"/>
          <w:szCs w:val="24"/>
        </w:rPr>
        <w:t xml:space="preserve"> policy</w:t>
      </w:r>
      <w:r w:rsidR="00046940">
        <w:rPr>
          <w:rFonts w:ascii="Times New Roman" w:hAnsi="Times New Roman" w:cs="Times New Roman"/>
          <w:sz w:val="24"/>
          <w:szCs w:val="24"/>
        </w:rPr>
        <w:t>.</w:t>
      </w:r>
    </w:p>
    <w:p w:rsidR="00600148" w:rsidRPr="00D01DEF" w:rsidRDefault="00600148" w:rsidP="006001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DEF">
        <w:rPr>
          <w:rFonts w:ascii="Times New Roman" w:hAnsi="Times New Roman" w:cs="Times New Roman"/>
          <w:sz w:val="24"/>
          <w:szCs w:val="24"/>
        </w:rPr>
        <w:t>The university will provide access for faculty members, staff members, and students interested in cessation services, including but not limited to Nicotine Replacement Therapy; individual, group, telephone, and online counseling through AHEC.</w:t>
      </w:r>
    </w:p>
    <w:p w:rsidR="00600148" w:rsidRDefault="00600148" w:rsidP="006001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48" w:rsidRPr="00D01DEF" w:rsidRDefault="00600148" w:rsidP="006001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Article II </w:t>
      </w:r>
      <w:r w:rsidRPr="00D01DEF">
        <w:rPr>
          <w:rFonts w:ascii="Times New Roman" w:hAnsi="Times New Roman" w:cs="Times New Roman"/>
          <w:b/>
          <w:sz w:val="24"/>
          <w:szCs w:val="24"/>
        </w:rPr>
        <w:t>-- Exceptions and Limitations</w:t>
      </w:r>
    </w:p>
    <w:p w:rsidR="00600148" w:rsidRPr="00D01DEF" w:rsidRDefault="00600148" w:rsidP="0060014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DEF">
        <w:rPr>
          <w:rFonts w:ascii="Times New Roman" w:hAnsi="Times New Roman" w:cs="Times New Roman"/>
          <w:sz w:val="24"/>
          <w:szCs w:val="24"/>
        </w:rPr>
        <w:t>Tobacco use may be permitted for educational, clinical, or religious ceremonial purpose</w:t>
      </w:r>
      <w:r w:rsidR="000D1F50">
        <w:rPr>
          <w:rFonts w:ascii="Times New Roman" w:hAnsi="Times New Roman" w:cs="Times New Roman"/>
          <w:sz w:val="24"/>
          <w:szCs w:val="24"/>
        </w:rPr>
        <w:t>s with prior approval of appropriate divisional vice president of provost</w:t>
      </w:r>
      <w:r w:rsidRPr="00D01DEF">
        <w:rPr>
          <w:rFonts w:ascii="Times New Roman" w:hAnsi="Times New Roman" w:cs="Times New Roman"/>
          <w:sz w:val="24"/>
          <w:szCs w:val="24"/>
        </w:rPr>
        <w:t>.</w:t>
      </w:r>
    </w:p>
    <w:p w:rsidR="00600148" w:rsidRPr="00D01DEF" w:rsidRDefault="00600148" w:rsidP="0060014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DEF">
        <w:rPr>
          <w:rFonts w:ascii="Times New Roman" w:hAnsi="Times New Roman" w:cs="Times New Roman"/>
          <w:sz w:val="24"/>
          <w:szCs w:val="24"/>
        </w:rPr>
        <w:t>Tobacco use may be permitted for controlled research with prior approval of the Dean and Provost. All University research policies must be adhered to.</w:t>
      </w:r>
    </w:p>
    <w:p w:rsidR="00600148" w:rsidRPr="00D01DEF" w:rsidRDefault="00600148" w:rsidP="0060014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DEF">
        <w:rPr>
          <w:rFonts w:ascii="Times New Roman" w:hAnsi="Times New Roman" w:cs="Times New Roman"/>
          <w:sz w:val="24"/>
          <w:szCs w:val="24"/>
        </w:rPr>
        <w:t>Smoke, like any other laboratory air contaminant generated, shall be controlled locally in a chemical hood or other exhaust system that provides 100 percent exhaust to the outside.</w:t>
      </w:r>
    </w:p>
    <w:p w:rsidR="00600148" w:rsidRDefault="00600148" w:rsidP="0060014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DEF">
        <w:rPr>
          <w:rFonts w:ascii="Times New Roman" w:hAnsi="Times New Roman" w:cs="Times New Roman"/>
          <w:sz w:val="24"/>
          <w:szCs w:val="24"/>
        </w:rPr>
        <w:t xml:space="preserve">Tobacco use may be permitted at </w:t>
      </w:r>
      <w:r w:rsidR="00AF1332">
        <w:rPr>
          <w:rFonts w:ascii="Times New Roman" w:hAnsi="Times New Roman" w:cs="Times New Roman"/>
          <w:sz w:val="24"/>
          <w:szCs w:val="24"/>
        </w:rPr>
        <w:t>shared facilities</w:t>
      </w:r>
      <w:r w:rsidRPr="00D01DEF">
        <w:rPr>
          <w:rFonts w:ascii="Times New Roman" w:hAnsi="Times New Roman" w:cs="Times New Roman"/>
          <w:sz w:val="24"/>
          <w:szCs w:val="24"/>
        </w:rPr>
        <w:t xml:space="preserve">, which are </w:t>
      </w:r>
      <w:r w:rsidR="000D1F50">
        <w:rPr>
          <w:rFonts w:ascii="Times New Roman" w:hAnsi="Times New Roman" w:cs="Times New Roman"/>
          <w:sz w:val="24"/>
          <w:szCs w:val="24"/>
        </w:rPr>
        <w:t>governed</w:t>
      </w:r>
      <w:r w:rsidR="00AF1332">
        <w:rPr>
          <w:rFonts w:ascii="Times New Roman" w:hAnsi="Times New Roman" w:cs="Times New Roman"/>
          <w:sz w:val="24"/>
          <w:szCs w:val="24"/>
        </w:rPr>
        <w:t xml:space="preserve"> by the policies of that facilities owner</w:t>
      </w:r>
      <w:r w:rsidRPr="00D01DEF">
        <w:rPr>
          <w:rFonts w:ascii="Times New Roman" w:hAnsi="Times New Roman" w:cs="Times New Roman"/>
          <w:sz w:val="24"/>
          <w:szCs w:val="24"/>
        </w:rPr>
        <w:t>.</w:t>
      </w:r>
    </w:p>
    <w:p w:rsidR="00AF4204" w:rsidRDefault="00AF4204" w:rsidP="006001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48" w:rsidRDefault="00600148" w:rsidP="006001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26DF">
        <w:rPr>
          <w:rFonts w:ascii="Times New Roman" w:hAnsi="Times New Roman" w:cs="Times New Roman"/>
          <w:b/>
          <w:sz w:val="24"/>
          <w:szCs w:val="24"/>
        </w:rPr>
        <w:t>Article III- Oversight</w:t>
      </w:r>
    </w:p>
    <w:p w:rsidR="00600148" w:rsidRPr="00600148" w:rsidRDefault="00EB5FCD" w:rsidP="00AF420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="00600148" w:rsidRPr="00600148">
        <w:rPr>
          <w:rFonts w:ascii="Times New Roman" w:hAnsi="Times New Roman" w:cs="Times New Roman"/>
        </w:rPr>
        <w:t xml:space="preserve">university employees, students, visitors, guests and contractors are required to comply with this policy which shall remain in effect at all times. </w:t>
      </w:r>
      <w:r>
        <w:rPr>
          <w:rFonts w:ascii="Times New Roman" w:hAnsi="Times New Roman" w:cs="Times New Roman"/>
        </w:rPr>
        <w:t>Initial compliance will be peer enforced.  Ongoing r</w:t>
      </w:r>
      <w:r w:rsidRPr="00600148">
        <w:rPr>
          <w:rFonts w:ascii="Times New Roman" w:hAnsi="Times New Roman" w:cs="Times New Roman"/>
        </w:rPr>
        <w:t>efusal</w:t>
      </w:r>
      <w:r w:rsidR="00600148" w:rsidRPr="00600148">
        <w:rPr>
          <w:rFonts w:ascii="Times New Roman" w:hAnsi="Times New Roman" w:cs="Times New Roman"/>
        </w:rPr>
        <w:t xml:space="preserve"> to comply with this policy may be cause for disciplinary action in accordance with employee and student conduct policies. Refusal to comply with the policy by visitors, guests</w:t>
      </w:r>
      <w:r>
        <w:rPr>
          <w:rFonts w:ascii="Times New Roman" w:hAnsi="Times New Roman" w:cs="Times New Roman"/>
        </w:rPr>
        <w:t>,</w:t>
      </w:r>
      <w:r w:rsidR="00600148" w:rsidRPr="00600148">
        <w:rPr>
          <w:rFonts w:ascii="Times New Roman" w:hAnsi="Times New Roman" w:cs="Times New Roman"/>
        </w:rPr>
        <w:t xml:space="preserve"> and contractors may be grounds for removal from campus. </w:t>
      </w:r>
    </w:p>
    <w:p w:rsidR="00600148" w:rsidRDefault="00600148" w:rsidP="0060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48" w:rsidRPr="00D01DEF" w:rsidRDefault="00600148" w:rsidP="00600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DEF">
        <w:rPr>
          <w:rFonts w:ascii="Times New Roman" w:hAnsi="Times New Roman" w:cs="Times New Roman"/>
          <w:b/>
          <w:sz w:val="24"/>
          <w:szCs w:val="24"/>
        </w:rPr>
        <w:t>RELATED INFORMATION</w:t>
      </w:r>
    </w:p>
    <w:p w:rsidR="00600148" w:rsidRDefault="00600148" w:rsidP="006001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DEF">
        <w:rPr>
          <w:rFonts w:ascii="Times New Roman" w:hAnsi="Times New Roman" w:cs="Times New Roman"/>
          <w:sz w:val="24"/>
          <w:szCs w:val="24"/>
        </w:rPr>
        <w:t xml:space="preserve">For additional information related to this policy, frequently asked questions, and </w:t>
      </w:r>
      <w:r>
        <w:rPr>
          <w:rFonts w:ascii="Times New Roman" w:hAnsi="Times New Roman" w:cs="Times New Roman"/>
          <w:sz w:val="24"/>
          <w:szCs w:val="24"/>
        </w:rPr>
        <w:t xml:space="preserve">cessation resources, visit the </w:t>
      </w:r>
      <w:hyperlink r:id="rId7" w:history="1">
        <w:r w:rsidRPr="00145B26">
          <w:rPr>
            <w:rStyle w:val="Hyperlink"/>
            <w:rFonts w:ascii="Times New Roman" w:hAnsi="Times New Roman" w:cs="Times New Roman"/>
            <w:sz w:val="24"/>
            <w:szCs w:val="24"/>
          </w:rPr>
          <w:t>http://bucwis.barry.edu/hr/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8" w:history="1">
        <w:r w:rsidRPr="00145B26">
          <w:rPr>
            <w:rStyle w:val="Hyperlink"/>
            <w:rFonts w:ascii="Times New Roman" w:hAnsi="Times New Roman" w:cs="Times New Roman"/>
            <w:sz w:val="24"/>
            <w:szCs w:val="24"/>
          </w:rPr>
          <w:t>https://www.barry.edu/health-services/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F7FE8" w:rsidRDefault="006F7FE8" w:rsidP="00046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7FE8" w:rsidSect="00AF4204">
      <w:head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93" w:rsidRDefault="00850193" w:rsidP="00AF4204">
      <w:pPr>
        <w:spacing w:after="0" w:line="240" w:lineRule="auto"/>
      </w:pPr>
      <w:r>
        <w:separator/>
      </w:r>
    </w:p>
  </w:endnote>
  <w:endnote w:type="continuationSeparator" w:id="0">
    <w:p w:rsidR="00850193" w:rsidRDefault="00850193" w:rsidP="00AF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93" w:rsidRDefault="00850193" w:rsidP="00AF4204">
      <w:pPr>
        <w:spacing w:after="0" w:line="240" w:lineRule="auto"/>
      </w:pPr>
      <w:r>
        <w:separator/>
      </w:r>
    </w:p>
  </w:footnote>
  <w:footnote w:type="continuationSeparator" w:id="0">
    <w:p w:rsidR="00850193" w:rsidRDefault="00850193" w:rsidP="00AF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04" w:rsidRDefault="00AF4204">
    <w:pPr>
      <w:pStyle w:val="Header"/>
    </w:pPr>
    <w:r>
      <w:rPr>
        <w:rFonts w:ascii="Times New Roman" w:hAnsi="Times New Roman"/>
        <w:b/>
        <w:bCs/>
        <w:caps/>
        <w:noProof/>
        <w:spacing w:val="15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5F0E9" wp14:editId="1D5809C4">
              <wp:simplePos x="0" y="0"/>
              <wp:positionH relativeFrom="margin">
                <wp:align>left</wp:align>
              </wp:positionH>
              <wp:positionV relativeFrom="paragraph">
                <wp:posOffset>114300</wp:posOffset>
              </wp:positionV>
              <wp:extent cx="2189747" cy="800100"/>
              <wp:effectExtent l="0" t="0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9747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204" w:rsidRDefault="00AF4204" w:rsidP="00AF420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AF4204" w:rsidRPr="00823CBF" w:rsidRDefault="00AF4204" w:rsidP="00AF420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823CBF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Barry University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23CBF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5F0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9pt;width:172.4pt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" stroked="f">
              <v:textbox>
                <w:txbxContent>
                  <w:p w:rsidR="00AF4204" w:rsidRDefault="00AF4204" w:rsidP="00AF420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:rsidR="00AF4204" w:rsidRPr="00823CBF" w:rsidRDefault="00AF4204" w:rsidP="00AF420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823CB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Barry University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823CB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Policy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2A5E347">
          <wp:extent cx="939165" cy="8655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4630"/>
    <w:multiLevelType w:val="hybridMultilevel"/>
    <w:tmpl w:val="A02EA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342E6"/>
    <w:multiLevelType w:val="hybridMultilevel"/>
    <w:tmpl w:val="3094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70D24"/>
    <w:multiLevelType w:val="hybridMultilevel"/>
    <w:tmpl w:val="7F624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301A"/>
    <w:multiLevelType w:val="hybridMultilevel"/>
    <w:tmpl w:val="436254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560DC"/>
    <w:multiLevelType w:val="hybridMultilevel"/>
    <w:tmpl w:val="5D68E5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B0E93"/>
    <w:multiLevelType w:val="hybridMultilevel"/>
    <w:tmpl w:val="A9FE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E0"/>
    <w:rsid w:val="000363B6"/>
    <w:rsid w:val="00046940"/>
    <w:rsid w:val="000507A1"/>
    <w:rsid w:val="000D1F50"/>
    <w:rsid w:val="00211C4D"/>
    <w:rsid w:val="00233F85"/>
    <w:rsid w:val="00246EE0"/>
    <w:rsid w:val="0030416E"/>
    <w:rsid w:val="003802D8"/>
    <w:rsid w:val="003B3063"/>
    <w:rsid w:val="003F6B1B"/>
    <w:rsid w:val="003F7D9C"/>
    <w:rsid w:val="004664AB"/>
    <w:rsid w:val="004A67CD"/>
    <w:rsid w:val="005003D8"/>
    <w:rsid w:val="00600148"/>
    <w:rsid w:val="006B716B"/>
    <w:rsid w:val="006F60EE"/>
    <w:rsid w:val="006F7FE8"/>
    <w:rsid w:val="0081175C"/>
    <w:rsid w:val="00823CBF"/>
    <w:rsid w:val="00850193"/>
    <w:rsid w:val="008823C9"/>
    <w:rsid w:val="008F6F96"/>
    <w:rsid w:val="009142A9"/>
    <w:rsid w:val="009372C5"/>
    <w:rsid w:val="009D28C1"/>
    <w:rsid w:val="00A13244"/>
    <w:rsid w:val="00AF1332"/>
    <w:rsid w:val="00AF4204"/>
    <w:rsid w:val="00BD2F30"/>
    <w:rsid w:val="00C13B1D"/>
    <w:rsid w:val="00C8693C"/>
    <w:rsid w:val="00CB109E"/>
    <w:rsid w:val="00D905F9"/>
    <w:rsid w:val="00DA5DD2"/>
    <w:rsid w:val="00E97A18"/>
    <w:rsid w:val="00EB5FCD"/>
    <w:rsid w:val="00EF15CD"/>
    <w:rsid w:val="00F70F76"/>
    <w:rsid w:val="00F752E3"/>
    <w:rsid w:val="00F927D8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60CFBC-D793-42C1-A97E-9E41DDA5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CD"/>
    <w:pPr>
      <w:ind w:left="720"/>
      <w:contextualSpacing/>
    </w:pPr>
  </w:style>
  <w:style w:type="paragraph" w:customStyle="1" w:styleId="Default">
    <w:name w:val="Default"/>
    <w:rsid w:val="00600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01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204"/>
  </w:style>
  <w:style w:type="paragraph" w:styleId="Footer">
    <w:name w:val="footer"/>
    <w:basedOn w:val="Normal"/>
    <w:link w:val="FooterChar"/>
    <w:uiPriority w:val="99"/>
    <w:unhideWhenUsed/>
    <w:rsid w:val="00AF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ry.edu/health-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cwis.barry.edu/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Egan-Hineline, Eileen</cp:lastModifiedBy>
  <cp:revision>2</cp:revision>
  <dcterms:created xsi:type="dcterms:W3CDTF">2016-05-09T16:37:00Z</dcterms:created>
  <dcterms:modified xsi:type="dcterms:W3CDTF">2016-05-09T16:37:00Z</dcterms:modified>
</cp:coreProperties>
</file>